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黑体"/>
          <w:sz w:val="32"/>
          <w:szCs w:val="32"/>
        </w:rPr>
      </w:pPr>
      <w:r>
        <w:rPr>
          <w:rFonts w:hint="eastAsia" w:ascii="Times New Roman" w:hAnsi="Times New Roman" w:eastAsia="黑体" w:cs="黑体"/>
          <w:sz w:val="32"/>
          <w:szCs w:val="32"/>
        </w:rPr>
        <w:t xml:space="preserve">附件2 </w:t>
      </w:r>
    </w:p>
    <w:p>
      <w:pPr>
        <w:jc w:val="center"/>
        <w:rPr>
          <w:rFonts w:ascii="Times New Roman" w:hAnsi="Times New Roman" w:eastAsia="方正小标宋简体"/>
          <w:sz w:val="40"/>
          <w:szCs w:val="40"/>
        </w:rPr>
      </w:pPr>
      <w:r>
        <w:rPr>
          <w:rFonts w:hint="eastAsia" w:ascii="Times New Roman" w:hAnsi="Times New Roman" w:eastAsia="方正小标宋简体"/>
          <w:sz w:val="40"/>
          <w:szCs w:val="40"/>
        </w:rPr>
        <w:t>第二十五届全国政协好新闻参评作品推荐表</w:t>
      </w:r>
    </w:p>
    <w:tbl>
      <w:tblPr>
        <w:tblStyle w:val="4"/>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188"/>
        <w:gridCol w:w="1111"/>
        <w:gridCol w:w="1462"/>
        <w:gridCol w:w="1435"/>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1639" w:type="dxa"/>
            <w:vMerge w:val="restart"/>
            <w:vAlign w:val="center"/>
          </w:tcPr>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作品标题</w:t>
            </w:r>
          </w:p>
        </w:tc>
        <w:tc>
          <w:tcPr>
            <w:tcW w:w="3761" w:type="dxa"/>
            <w:gridSpan w:val="3"/>
            <w:vMerge w:val="restart"/>
            <w:vAlign w:val="center"/>
          </w:tcPr>
          <w:p>
            <w:pPr>
              <w:spacing w:line="260" w:lineRule="exact"/>
              <w:rPr>
                <w:rFonts w:ascii="Times New Roman" w:hAnsi="Times New Roman" w:eastAsia="黑体" w:cs="黑体"/>
                <w:color w:val="000000"/>
                <w:sz w:val="28"/>
                <w:szCs w:val="22"/>
              </w:rPr>
            </w:pPr>
            <w:r>
              <w:rPr>
                <w:rFonts w:hint="eastAsia" w:ascii="Times New Roman" w:hAnsi="Times New Roman" w:eastAsia="方正仿宋_GBK" w:cs="仿宋"/>
                <w:color w:val="000000"/>
                <w:sz w:val="24"/>
                <w:szCs w:val="18"/>
              </w:rPr>
              <w:t>委员争相“抢话筒” 部门回应实打实</w:t>
            </w:r>
          </w:p>
        </w:tc>
        <w:tc>
          <w:tcPr>
            <w:tcW w:w="1435" w:type="dxa"/>
            <w:vAlign w:val="center"/>
          </w:tcPr>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参评项目</w:t>
            </w:r>
          </w:p>
        </w:tc>
        <w:tc>
          <w:tcPr>
            <w:tcW w:w="2789" w:type="dxa"/>
            <w:vAlign w:val="center"/>
          </w:tcPr>
          <w:p>
            <w:pP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trPr>
        <w:tc>
          <w:tcPr>
            <w:tcW w:w="1639" w:type="dxa"/>
            <w:vMerge w:val="continue"/>
            <w:vAlign w:val="center"/>
          </w:tcPr>
          <w:p>
            <w:pPr>
              <w:spacing w:line="380" w:lineRule="exact"/>
              <w:ind w:firstLine="560"/>
              <w:jc w:val="center"/>
              <w:rPr>
                <w:rFonts w:ascii="Times New Roman" w:hAnsi="Times New Roman" w:eastAsia="黑体" w:cs="黑体"/>
                <w:color w:val="000000"/>
                <w:sz w:val="28"/>
                <w:szCs w:val="22"/>
              </w:rPr>
            </w:pPr>
          </w:p>
        </w:tc>
        <w:tc>
          <w:tcPr>
            <w:tcW w:w="3761" w:type="dxa"/>
            <w:gridSpan w:val="3"/>
            <w:vMerge w:val="continue"/>
            <w:vAlign w:val="center"/>
          </w:tcPr>
          <w:p>
            <w:pPr>
              <w:spacing w:line="380" w:lineRule="exact"/>
              <w:ind w:firstLine="560"/>
              <w:jc w:val="center"/>
              <w:rPr>
                <w:rFonts w:ascii="Times New Roman" w:hAnsi="Times New Roman" w:eastAsia="黑体" w:cs="黑体"/>
                <w:color w:val="000000"/>
                <w:sz w:val="28"/>
                <w:szCs w:val="22"/>
              </w:rPr>
            </w:pPr>
          </w:p>
        </w:tc>
        <w:tc>
          <w:tcPr>
            <w:tcW w:w="1435" w:type="dxa"/>
            <w:vAlign w:val="center"/>
          </w:tcPr>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刊播介质</w:t>
            </w:r>
          </w:p>
        </w:tc>
        <w:tc>
          <w:tcPr>
            <w:tcW w:w="2789" w:type="dxa"/>
            <w:vAlign w:val="center"/>
          </w:tcPr>
          <w:p>
            <w:pPr>
              <w:spacing w:line="260" w:lineRule="exact"/>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报纸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39" w:type="dxa"/>
            <w:vMerge w:val="continue"/>
            <w:vAlign w:val="center"/>
          </w:tcPr>
          <w:p>
            <w:pPr>
              <w:spacing w:line="380" w:lineRule="exact"/>
              <w:ind w:firstLine="560"/>
              <w:jc w:val="center"/>
              <w:rPr>
                <w:rFonts w:ascii="Times New Roman" w:hAnsi="Times New Roman" w:eastAsia="黑体" w:cs="黑体"/>
                <w:color w:val="000000"/>
                <w:sz w:val="28"/>
                <w:szCs w:val="22"/>
              </w:rPr>
            </w:pPr>
          </w:p>
        </w:tc>
        <w:tc>
          <w:tcPr>
            <w:tcW w:w="3761" w:type="dxa"/>
            <w:gridSpan w:val="3"/>
            <w:vMerge w:val="continue"/>
            <w:vAlign w:val="center"/>
          </w:tcPr>
          <w:p>
            <w:pPr>
              <w:spacing w:line="380" w:lineRule="exact"/>
              <w:ind w:firstLine="560"/>
              <w:jc w:val="center"/>
              <w:rPr>
                <w:rFonts w:ascii="Times New Roman" w:hAnsi="Times New Roman" w:eastAsia="黑体" w:cs="黑体"/>
                <w:color w:val="000000"/>
                <w:sz w:val="28"/>
                <w:szCs w:val="22"/>
              </w:rPr>
            </w:pPr>
          </w:p>
        </w:tc>
        <w:tc>
          <w:tcPr>
            <w:tcW w:w="1435" w:type="dxa"/>
            <w:vAlign w:val="center"/>
          </w:tcPr>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语种</w:t>
            </w:r>
          </w:p>
        </w:tc>
        <w:tc>
          <w:tcPr>
            <w:tcW w:w="2789" w:type="dxa"/>
            <w:vAlign w:val="center"/>
          </w:tcPr>
          <w:p>
            <w:pPr>
              <w:spacing w:line="240" w:lineRule="atLeast"/>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639" w:type="dxa"/>
            <w:vAlign w:val="center"/>
          </w:tcPr>
          <w:p>
            <w:pPr>
              <w:spacing w:line="320" w:lineRule="exact"/>
              <w:jc w:val="center"/>
              <w:rPr>
                <w:rFonts w:ascii="Times New Roman" w:hAnsi="Times New Roman" w:eastAsia="黑体" w:cs="黑体"/>
                <w:color w:val="000000"/>
                <w:spacing w:val="-12"/>
                <w:sz w:val="28"/>
                <w:szCs w:val="22"/>
              </w:rPr>
            </w:pPr>
            <w:r>
              <w:rPr>
                <w:rFonts w:hint="eastAsia" w:ascii="Times New Roman" w:hAnsi="Times New Roman" w:eastAsia="黑体" w:cs="黑体"/>
                <w:color w:val="000000"/>
                <w:spacing w:val="-12"/>
                <w:sz w:val="28"/>
                <w:szCs w:val="22"/>
              </w:rPr>
              <w:t>作  者</w:t>
            </w:r>
          </w:p>
          <w:p>
            <w:pPr>
              <w:spacing w:line="320" w:lineRule="exact"/>
              <w:jc w:val="center"/>
              <w:rPr>
                <w:rFonts w:ascii="Times New Roman" w:hAnsi="Times New Roman" w:eastAsia="黑体" w:cs="黑体"/>
                <w:color w:val="000000"/>
                <w:spacing w:val="-12"/>
                <w:sz w:val="24"/>
                <w:szCs w:val="22"/>
              </w:rPr>
            </w:pPr>
            <w:r>
              <w:rPr>
                <w:rFonts w:hint="eastAsia" w:ascii="Times New Roman" w:hAnsi="Times New Roman" w:eastAsia="黑体" w:cs="黑体"/>
                <w:color w:val="000000"/>
                <w:spacing w:val="-12"/>
                <w:sz w:val="24"/>
                <w:szCs w:val="22"/>
              </w:rPr>
              <w:t>（主创人员）</w:t>
            </w:r>
          </w:p>
        </w:tc>
        <w:tc>
          <w:tcPr>
            <w:tcW w:w="2299" w:type="dxa"/>
            <w:gridSpan w:val="2"/>
            <w:vAlign w:val="center"/>
          </w:tcPr>
          <w:p>
            <w:pPr>
              <w:spacing w:line="260" w:lineRule="exact"/>
              <w:rPr>
                <w:rFonts w:ascii="Times New Roman" w:hAnsi="Times New Roman" w:eastAsia="仿宋_GB2312" w:cs="仿宋_GB2312"/>
                <w:color w:val="000000"/>
                <w:sz w:val="28"/>
                <w:szCs w:val="22"/>
              </w:rPr>
            </w:pPr>
            <w:r>
              <w:rPr>
                <w:rFonts w:hint="eastAsia" w:ascii="Times New Roman" w:hAnsi="Times New Roman" w:eastAsia="方正仿宋_GBK" w:cs="仿宋"/>
                <w:color w:val="000000"/>
                <w:sz w:val="24"/>
                <w:szCs w:val="18"/>
              </w:rPr>
              <w:t>罗静雯、周尤</w:t>
            </w:r>
          </w:p>
        </w:tc>
        <w:tc>
          <w:tcPr>
            <w:tcW w:w="1462" w:type="dxa"/>
            <w:vAlign w:val="center"/>
          </w:tcPr>
          <w:p>
            <w:pPr>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编辑</w:t>
            </w:r>
          </w:p>
        </w:tc>
        <w:tc>
          <w:tcPr>
            <w:tcW w:w="4224" w:type="dxa"/>
            <w:gridSpan w:val="2"/>
            <w:vAlign w:val="center"/>
          </w:tcPr>
          <w:p>
            <w:pPr>
              <w:spacing w:line="240" w:lineRule="exact"/>
              <w:rPr>
                <w:rFonts w:ascii="Times New Roman" w:hAnsi="Times New Roman" w:eastAsia="仿宋_GB2312" w:cs="仿宋_GB2312"/>
                <w:color w:val="000000"/>
                <w:w w:val="95"/>
                <w:szCs w:val="21"/>
              </w:rPr>
            </w:pPr>
            <w:r>
              <w:rPr>
                <w:rFonts w:hint="eastAsia" w:ascii="Times New Roman" w:hAnsi="Times New Roman" w:eastAsia="方正仿宋_GBK" w:cs="仿宋"/>
                <w:color w:val="000000"/>
                <w:sz w:val="24"/>
                <w:szCs w:val="18"/>
              </w:rPr>
              <w:t>商宇、李薇帆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639" w:type="dxa"/>
            <w:vAlign w:val="center"/>
          </w:tcPr>
          <w:p>
            <w:pPr>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刊播单位</w:t>
            </w:r>
          </w:p>
        </w:tc>
        <w:tc>
          <w:tcPr>
            <w:tcW w:w="2299" w:type="dxa"/>
            <w:gridSpan w:val="2"/>
            <w:vAlign w:val="center"/>
          </w:tcPr>
          <w:p>
            <w:pPr>
              <w:spacing w:line="260" w:lineRule="exac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重庆日报</w:t>
            </w:r>
          </w:p>
        </w:tc>
        <w:tc>
          <w:tcPr>
            <w:tcW w:w="1462" w:type="dxa"/>
            <w:vAlign w:val="center"/>
          </w:tcPr>
          <w:p>
            <w:pPr>
              <w:spacing w:line="40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刊播日期</w:t>
            </w:r>
          </w:p>
        </w:tc>
        <w:tc>
          <w:tcPr>
            <w:tcW w:w="4224" w:type="dxa"/>
            <w:gridSpan w:val="2"/>
            <w:vAlign w:val="center"/>
          </w:tcPr>
          <w:p>
            <w:pPr>
              <w:spacing w:line="260" w:lineRule="exact"/>
              <w:rPr>
                <w:rFonts w:ascii="Times New Roman" w:hAnsi="Times New Roman" w:eastAsia="仿宋_GB2312" w:cs="仿宋_GB2312"/>
                <w:color w:val="000000"/>
                <w:sz w:val="18"/>
                <w:szCs w:val="18"/>
                <w:highlight w:val="green"/>
              </w:rPr>
            </w:pPr>
            <w:r>
              <w:rPr>
                <w:rFonts w:hint="eastAsia" w:ascii="Times New Roman" w:hAnsi="Times New Roman" w:eastAsia="方正仿宋_GBK" w:cs="仿宋"/>
                <w:color w:val="000000"/>
                <w:sz w:val="24"/>
                <w:szCs w:val="18"/>
              </w:rPr>
              <w:t>2023-0</w:t>
            </w:r>
            <w:r>
              <w:rPr>
                <w:rFonts w:ascii="Times New Roman" w:hAnsi="Times New Roman" w:eastAsia="方正仿宋_GBK" w:cs="仿宋"/>
                <w:color w:val="000000"/>
                <w:sz w:val="24"/>
                <w:szCs w:val="18"/>
              </w:rPr>
              <w:t>5</w:t>
            </w:r>
            <w:r>
              <w:rPr>
                <w:rFonts w:hint="eastAsia" w:ascii="Times New Roman" w:hAnsi="Times New Roman" w:eastAsia="方正仿宋_GBK" w:cs="仿宋"/>
                <w:color w:val="000000"/>
                <w:sz w:val="24"/>
                <w:szCs w:val="18"/>
              </w:rPr>
              <w:t>-</w:t>
            </w:r>
            <w:r>
              <w:rPr>
                <w:rFonts w:ascii="Times New Roman" w:hAnsi="Times New Roman" w:eastAsia="方正仿宋_GBK" w:cs="仿宋"/>
                <w:color w:val="000000"/>
                <w:sz w:val="24"/>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exact"/>
        </w:trPr>
        <w:tc>
          <w:tcPr>
            <w:tcW w:w="1639" w:type="dxa"/>
            <w:vAlign w:val="center"/>
          </w:tcPr>
          <w:p>
            <w:pPr>
              <w:spacing w:line="4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刊播版面</w:t>
            </w:r>
            <w:r>
              <w:rPr>
                <w:rFonts w:hint="eastAsia" w:ascii="Times New Roman" w:hAnsi="Times New Roman" w:eastAsia="黑体" w:cs="黑体"/>
                <w:color w:val="000000"/>
                <w:spacing w:val="-12"/>
                <w:sz w:val="28"/>
                <w:szCs w:val="22"/>
              </w:rPr>
              <w:t>(</w:t>
            </w:r>
            <w:r>
              <w:rPr>
                <w:rFonts w:hint="eastAsia" w:ascii="Times New Roman" w:hAnsi="Times New Roman" w:eastAsia="黑体" w:cs="黑体"/>
                <w:color w:val="000000"/>
                <w:spacing w:val="-12"/>
                <w:sz w:val="24"/>
                <w:szCs w:val="22"/>
              </w:rPr>
              <w:t>名称和版次)</w:t>
            </w:r>
          </w:p>
        </w:tc>
        <w:tc>
          <w:tcPr>
            <w:tcW w:w="2299" w:type="dxa"/>
            <w:gridSpan w:val="2"/>
            <w:vAlign w:val="center"/>
          </w:tcPr>
          <w:p>
            <w:pPr>
              <w:spacing w:line="260" w:lineRule="exac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2版</w:t>
            </w:r>
          </w:p>
        </w:tc>
        <w:tc>
          <w:tcPr>
            <w:tcW w:w="1462" w:type="dxa"/>
            <w:vAlign w:val="center"/>
          </w:tcPr>
          <w:p>
            <w:pPr>
              <w:spacing w:line="40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作品字数</w:t>
            </w:r>
          </w:p>
          <w:p>
            <w:pPr>
              <w:spacing w:line="40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（时长）</w:t>
            </w:r>
          </w:p>
        </w:tc>
        <w:tc>
          <w:tcPr>
            <w:tcW w:w="4224" w:type="dxa"/>
            <w:gridSpan w:val="2"/>
            <w:vAlign w:val="center"/>
          </w:tcPr>
          <w:p>
            <w:pPr>
              <w:spacing w:line="260" w:lineRule="exac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2827" w:type="dxa"/>
            <w:gridSpan w:val="2"/>
            <w:vAlign w:val="center"/>
          </w:tcPr>
          <w:p>
            <w:pPr>
              <w:spacing w:line="340" w:lineRule="exact"/>
              <w:rPr>
                <w:rFonts w:ascii="Times New Roman" w:hAnsi="Times New Roman"/>
                <w:color w:val="000000"/>
                <w:szCs w:val="21"/>
              </w:rPr>
            </w:pPr>
            <w:r>
              <w:rPr>
                <w:rFonts w:hint="eastAsia" w:ascii="Times New Roman" w:hAnsi="Times New Roman" w:eastAsia="黑体" w:cs="黑体"/>
                <w:color w:val="000000"/>
                <w:sz w:val="28"/>
                <w:szCs w:val="22"/>
              </w:rPr>
              <w:t>新媒体作品填报网址</w:t>
            </w:r>
          </w:p>
        </w:tc>
        <w:tc>
          <w:tcPr>
            <w:tcW w:w="6797" w:type="dxa"/>
            <w:gridSpan w:val="4"/>
            <w:vAlign w:val="center"/>
          </w:tcPr>
          <w:p>
            <w:pPr>
              <w:spacing w:line="260" w:lineRule="exact"/>
              <w:rPr>
                <w:rFonts w:ascii="Times New Roman" w:hAnsi="Times New Roman" w:eastAsia="华文中宋"/>
                <w:color w:val="00000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HYPERLINK "https://epaper.cqrb.cn/cqrb/2023-05/17/002/content_rb_316861.htm" </w:instrText>
            </w:r>
            <w:r>
              <w:rPr>
                <w:rFonts w:ascii="宋体" w:hAnsi="宋体" w:cs="宋体"/>
                <w:color w:val="000000"/>
                <w:kern w:val="0"/>
                <w:szCs w:val="21"/>
              </w:rPr>
              <w:fldChar w:fldCharType="separate"/>
            </w:r>
            <w:r>
              <w:rPr>
                <w:rStyle w:val="6"/>
                <w:rFonts w:ascii="宋体" w:hAnsi="宋体" w:cs="宋体"/>
                <w:kern w:val="0"/>
                <w:szCs w:val="21"/>
              </w:rPr>
              <w:t>https://epaper.cqrb.cn/cqrb/2023-05/17/002/content_rb_316861.htm</w:t>
            </w:r>
            <w:r>
              <w:rPr>
                <w:rFonts w:ascii="宋体" w:hAnsi="宋体" w:cs="宋体"/>
                <w:color w:val="000000"/>
                <w:kern w:val="0"/>
                <w:szCs w:val="21"/>
              </w:rPr>
              <w:fldChar w:fldCharType="end"/>
            </w:r>
            <w:r>
              <w:rPr>
                <w:rFonts w:hint="eastAsia" w:ascii="宋体" w:hAnsi="宋体" w:cs="宋体"/>
                <w:color w:val="000000"/>
                <w:kern w:val="0"/>
                <w:szCs w:val="21"/>
                <w:lang w:val="en-US" w:eastAsia="zh-CN"/>
              </w:rPr>
              <w:t xml:space="preserve"> </w:t>
            </w:r>
            <w:bookmarkStart w:id="2" w:name="_GoBack"/>
            <w:bookmarkEnd w:id="2"/>
            <w:r>
              <w:rPr>
                <w:rFonts w:ascii="宋体" w:hAnsi="宋体" w:cs="宋体"/>
                <w:color w:val="000000"/>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1639" w:type="dxa"/>
            <w:vAlign w:val="center"/>
          </w:tcPr>
          <w:p>
            <w:pPr>
              <w:spacing w:line="340" w:lineRule="exact"/>
              <w:jc w:val="center"/>
              <w:rPr>
                <w:rFonts w:ascii="Times New Roman" w:hAnsi="Times New Roman" w:eastAsia="黑体" w:cs="黑体"/>
                <w:color w:val="000000"/>
                <w:sz w:val="28"/>
                <w:szCs w:val="22"/>
              </w:rPr>
            </w:pPr>
            <w:bookmarkStart w:id="0" w:name="_Hlk162512085"/>
            <w:r>
              <w:rPr>
                <w:rFonts w:hint="eastAsia" w:ascii="Times New Roman" w:hAnsi="Times New Roman" w:eastAsia="黑体" w:cs="黑体"/>
                <w:color w:val="000000"/>
                <w:sz w:val="28"/>
                <w:szCs w:val="22"/>
              </w:rPr>
              <w:t xml:space="preserve">  ︵</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作采</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品编</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简过</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介程</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 xml:space="preserve">  ︶</w:t>
            </w:r>
          </w:p>
        </w:tc>
        <w:tc>
          <w:tcPr>
            <w:tcW w:w="7985" w:type="dxa"/>
            <w:gridSpan w:val="5"/>
            <w:vAlign w:val="center"/>
          </w:tcPr>
          <w:p>
            <w:pPr>
              <w:spacing w:line="240" w:lineRule="exact"/>
              <w:rPr>
                <w:rFonts w:ascii="Times New Roman" w:hAnsi="Times New Roman" w:eastAsia="仿宋_GB2312" w:cs="仿宋_GB2312"/>
                <w:color w:val="000000"/>
                <w:w w:val="95"/>
                <w:szCs w:val="21"/>
              </w:rPr>
            </w:pPr>
            <w:r>
              <w:rPr>
                <w:rFonts w:hint="eastAsia" w:ascii="Times New Roman" w:hAnsi="Times New Roman" w:eastAsia="方正仿宋_GBK"/>
                <w:color w:val="000000"/>
                <w:w w:val="95"/>
                <w:szCs w:val="21"/>
              </w:rPr>
              <w:t>5月16日，在市政协六届三次常委会会议“加快打造国家重要先进制造业中心 助推成渝地区双城经济圈建设”专题协商中，十余位委员踊跃发言，争相“抢话筒”，为重庆制造业高质量发展出点子、想法子、探路子。记者提前了解到选题，通过与发言委员和回应的相关部门提前取得联系，对整个内容进行了提炼优化，并在现场记录委员观点和精彩语句，</w:t>
            </w:r>
            <w:r>
              <w:rPr>
                <w:rFonts w:hint="eastAsia" w:ascii="Times New Roman" w:hAnsi="Times New Roman" w:eastAsia="方正仿宋_GBK"/>
                <w:color w:val="000000"/>
                <w:szCs w:val="21"/>
              </w:rPr>
              <w:t>第一时间成稿后又反复打磨润色，数次修改，</w:t>
            </w:r>
            <w:r>
              <w:rPr>
                <w:rFonts w:hint="eastAsia" w:ascii="Times New Roman" w:hAnsi="Times New Roman" w:eastAsia="仿宋_GB2312" w:cs="仿宋_GB2312"/>
                <w:color w:val="000000"/>
                <w:w w:val="95"/>
                <w:szCs w:val="21"/>
              </w:rPr>
              <w:t>最终完成稿件并于次日刊发。</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exact"/>
        </w:trPr>
        <w:tc>
          <w:tcPr>
            <w:tcW w:w="1639" w:type="dxa"/>
            <w:vAlign w:val="center"/>
          </w:tcPr>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社</w:t>
            </w:r>
          </w:p>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会</w:t>
            </w:r>
          </w:p>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效</w:t>
            </w:r>
          </w:p>
          <w:p>
            <w:pPr>
              <w:spacing w:line="38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果</w:t>
            </w:r>
          </w:p>
        </w:tc>
        <w:tc>
          <w:tcPr>
            <w:tcW w:w="7985" w:type="dxa"/>
            <w:gridSpan w:val="5"/>
            <w:vAlign w:val="center"/>
          </w:tcPr>
          <w:p>
            <w:pPr>
              <w:spacing w:line="240" w:lineRule="exact"/>
              <w:rPr>
                <w:rFonts w:ascii="Times New Roman" w:hAnsi="Times New Roman" w:eastAsia="仿宋_GB2312" w:cs="仿宋_GB2312"/>
                <w:color w:val="000000"/>
                <w:szCs w:val="21"/>
              </w:rPr>
            </w:pPr>
            <w:bookmarkStart w:id="1" w:name="_Hlk162512108"/>
            <w:r>
              <w:rPr>
                <w:rFonts w:hint="eastAsia" w:ascii="Times New Roman" w:hAnsi="Times New Roman" w:eastAsia="方正仿宋_GBK"/>
                <w:color w:val="000000"/>
                <w:szCs w:val="21"/>
              </w:rPr>
              <w:t>记者在采写稿件中采取了场景化、动态化和彼此呼应等手法，</w:t>
            </w:r>
            <w:r>
              <w:rPr>
                <w:rFonts w:hint="eastAsia" w:ascii="Times New Roman" w:hAnsi="Times New Roman" w:eastAsia="方正仿宋_GBK"/>
                <w:color w:val="000000"/>
                <w:w w:val="95"/>
                <w:szCs w:val="21"/>
              </w:rPr>
              <w:t>用3个小标题切入大主题进行阐述，</w:t>
            </w:r>
            <w:r>
              <w:rPr>
                <w:rFonts w:hint="eastAsia" w:ascii="Times New Roman" w:hAnsi="Times New Roman" w:eastAsia="方正仿宋_GBK"/>
                <w:color w:val="000000"/>
                <w:szCs w:val="21"/>
              </w:rPr>
              <w:t>主题鲜明、重点突出，既提升了受众的阅读体验，也强化了宏大议题的传播性。稿件刊发后得到社会各界广泛关注，普遍认为稿件具有强烈的政策导向性和提升公众意识的作用，是一篇兼顾政策性和新闻性的佳作。各大门户网站也纷纷进行了转载，社会反响很好。</w:t>
            </w:r>
            <w:r>
              <w:rPr>
                <w:rFonts w:hint="eastAsia" w:ascii="Times New Roman" w:hAnsi="Times New Roman" w:eastAsia="仿宋_GB2312" w:cs="仿宋_GB2312"/>
                <w:color w:val="000000"/>
                <w:w w:val="95"/>
                <w:szCs w:val="21"/>
              </w:rPr>
              <w:t>该作品还获评重庆日报报业集团2023年2季度好新闻。</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5" w:hRule="exact"/>
        </w:trPr>
        <w:tc>
          <w:tcPr>
            <w:tcW w:w="1639" w:type="dxa"/>
            <w:tcBorders>
              <w:bottom w:val="single" w:color="auto" w:sz="4" w:space="0"/>
            </w:tcBorders>
            <w:vAlign w:val="center"/>
          </w:tcPr>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单</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位</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意</w:t>
            </w:r>
          </w:p>
          <w:p>
            <w:pPr>
              <w:spacing w:line="340" w:lineRule="exact"/>
              <w:jc w:val="center"/>
              <w:rPr>
                <w:rFonts w:ascii="Times New Roman" w:hAnsi="Times New Roman" w:eastAsia="黑体" w:cs="黑体"/>
                <w:color w:val="000000"/>
                <w:sz w:val="28"/>
                <w:szCs w:val="22"/>
              </w:rPr>
            </w:pPr>
            <w:r>
              <w:rPr>
                <w:rFonts w:hint="eastAsia" w:ascii="Times New Roman" w:hAnsi="Times New Roman" w:eastAsia="黑体" w:cs="黑体"/>
                <w:color w:val="000000"/>
                <w:sz w:val="28"/>
                <w:szCs w:val="22"/>
              </w:rPr>
              <w:t>见</w:t>
            </w:r>
          </w:p>
        </w:tc>
        <w:tc>
          <w:tcPr>
            <w:tcW w:w="7985" w:type="dxa"/>
            <w:gridSpan w:val="5"/>
            <w:tcBorders>
              <w:bottom w:val="single" w:color="auto" w:sz="4" w:space="0"/>
            </w:tcBorders>
            <w:vAlign w:val="center"/>
          </w:tcPr>
          <w:p>
            <w:pPr>
              <w:spacing w:line="300" w:lineRule="exact"/>
              <w:ind w:firstLine="420"/>
              <w:rPr>
                <w:rFonts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推荐理由：</w:t>
            </w:r>
            <w:r>
              <w:rPr>
                <w:rFonts w:hint="eastAsia" w:ascii="Times New Roman" w:hAnsi="Times New Roman" w:eastAsia="方正仿宋_GBK"/>
                <w:color w:val="000000"/>
                <w:szCs w:val="21"/>
              </w:rPr>
              <w:t>成渝地区双城经济圈建设是中央关于区域经济发展布局的重点部署之一，也是重庆市委的一号工程和总牵引，该稿件生动反映了市政协委员积极围绕中心服务大局履职尽责的鲜活实践，收到了很好的宣传政协工作，凝聚人心、鼓舞士气的效果。</w:t>
            </w:r>
          </w:p>
          <w:p>
            <w:pPr>
              <w:spacing w:line="300" w:lineRule="exact"/>
              <w:ind w:firstLine="420"/>
              <w:rPr>
                <w:rFonts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经我单位审核，该作品内容真实，相关申报材料属实。我单位同意推荐该作品参加第二十五届全国政协好新闻评选。</w:t>
            </w:r>
          </w:p>
          <w:p>
            <w:pPr>
              <w:spacing w:line="300" w:lineRule="exact"/>
              <w:ind w:firstLine="420"/>
              <w:rPr>
                <w:rFonts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 xml:space="preserve">                      刊播单位负责同志签名 刘长发</w:t>
            </w:r>
          </w:p>
          <w:p>
            <w:pPr>
              <w:spacing w:line="300" w:lineRule="exact"/>
              <w:ind w:firstLine="420"/>
              <w:jc w:val="right"/>
              <w:rPr>
                <w:rFonts w:ascii="Times New Roman" w:hAnsi="Times New Roman" w:eastAsia="仿宋_GB2312" w:cs="仿宋_GB2312"/>
                <w:color w:val="000000"/>
                <w:szCs w:val="21"/>
              </w:rPr>
            </w:pPr>
            <w:r>
              <w:rPr>
                <w:rFonts w:hint="eastAsia" w:ascii="Times New Roman" w:hAnsi="Times New Roman" w:eastAsia="仿宋_GB2312" w:cs="仿宋_GB2312"/>
                <w:color w:val="000000"/>
                <w:sz w:val="24"/>
                <w:szCs w:val="18"/>
              </w:rPr>
              <w:t xml:space="preserve">（盖刊播单位公章） </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color w:val="000000"/>
                <w:sz w:val="24"/>
                <w:szCs w:val="18"/>
              </w:rPr>
              <w:t>2024年3月 28日</w:t>
            </w:r>
          </w:p>
        </w:tc>
      </w:tr>
    </w:tbl>
    <w:p>
      <w:pPr>
        <w:spacing w:after="156" w:afterLines="50"/>
        <w:jc w:val="center"/>
        <w:rPr>
          <w:rFonts w:ascii="Times New Roman" w:hAnsi="Times New Roman" w:eastAsia="方正小标宋简体" w:cs="方正小标宋简体"/>
          <w:color w:val="000000"/>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148B"/>
    <w:rsid w:val="00532984"/>
    <w:rsid w:val="007D61E0"/>
    <w:rsid w:val="008D1BBB"/>
    <w:rsid w:val="00911039"/>
    <w:rsid w:val="00993D17"/>
    <w:rsid w:val="00AC1A4E"/>
    <w:rsid w:val="00C4148B"/>
    <w:rsid w:val="00DA08AD"/>
    <w:rsid w:val="00E5151E"/>
    <w:rsid w:val="21FF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140</Words>
  <Characters>798</Characters>
  <Lines>6</Lines>
  <Paragraphs>1</Paragraphs>
  <TotalTime>23</TotalTime>
  <ScaleCrop>false</ScaleCrop>
  <LinksUpToDate>false</LinksUpToDate>
  <CharactersWithSpaces>937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2024-01-19T07:43:00Z</dcterms:created>
  <dc:creator>cppcc</dc:creator>
  <cp:lastModifiedBy>Administrator</cp:lastModifiedBy>
  <dcterms:modified xsi:type="dcterms:W3CDTF">2024-03-28T06:05:02Z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5467EFEAE2F2490AABCAECB9506A55C9</vt:lpwstr>
  </property>
</Properties>
</file>